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BD" w:rsidRPr="000B2DBD" w:rsidRDefault="000B2DBD" w:rsidP="000B2D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B2DBD">
        <w:rPr>
          <w:rFonts w:ascii="Times New Roman" w:hAnsi="Times New Roman"/>
          <w:sz w:val="24"/>
          <w:szCs w:val="24"/>
        </w:rPr>
        <w:t>Приложение</w:t>
      </w:r>
    </w:p>
    <w:p w:rsidR="000B2DBD" w:rsidRPr="000B2DBD" w:rsidRDefault="000B2DBD" w:rsidP="000B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BD">
        <w:rPr>
          <w:rFonts w:ascii="Times New Roman" w:hAnsi="Times New Roman"/>
          <w:sz w:val="24"/>
          <w:szCs w:val="24"/>
        </w:rPr>
        <w:t>к решению Обнинского городского Собрания</w:t>
      </w:r>
    </w:p>
    <w:p w:rsidR="000B2DBD" w:rsidRPr="000B2DBD" w:rsidRDefault="000B2DBD" w:rsidP="000B2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DBD">
        <w:rPr>
          <w:rFonts w:ascii="Times New Roman" w:hAnsi="Times New Roman"/>
          <w:sz w:val="24"/>
          <w:szCs w:val="24"/>
        </w:rPr>
        <w:t>от ________ 2017 г. N ____</w:t>
      </w:r>
    </w:p>
    <w:p w:rsidR="000B2DBD" w:rsidRPr="000B2DBD" w:rsidRDefault="000B2DBD" w:rsidP="000B2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2DBD" w:rsidRPr="000B2DBD" w:rsidRDefault="000B2DBD" w:rsidP="000B2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0B2DBD">
        <w:rPr>
          <w:rFonts w:ascii="Times New Roman" w:hAnsi="Times New Roman" w:cs="Times New Roman"/>
          <w:sz w:val="24"/>
          <w:szCs w:val="24"/>
        </w:rPr>
        <w:t>ПОЛОЖЕНИЕ О СОБРАНИЯХ (КОНФЕРЕНЦИЯХ) ГРАЖДАН</w:t>
      </w:r>
    </w:p>
    <w:p w:rsidR="000B2DBD" w:rsidRPr="000B2DBD" w:rsidRDefault="000B2DBD" w:rsidP="000B2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В МУНИЦИПАЛЬНОМ ОБРАЗОВАНИИ "ГОРОД ОБНИНСК"</w:t>
      </w:r>
    </w:p>
    <w:p w:rsidR="000B2DBD" w:rsidRPr="000B2DBD" w:rsidRDefault="000B2DBD" w:rsidP="000B2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Настоящее Положение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 определяет полномочия, порядок назначения и проведения собраний (конференций) граждан в муниципальном образовании "Город Обнинск" (далее - Обнинск), принятия и изменения их решений.</w:t>
      </w: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Собрание (конференция) граждан в Обнинске (далее - собрание (конференция) граждан - форма участия граждан, проживающих на территории Обнинска, в осуществлении местного самоуправления.</w:t>
      </w:r>
      <w:proofErr w:type="gramEnd"/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1.2. Собрание (конференция) граждан проводится на всей территории Обнинска или на отдельной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части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Обнинска.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1.3. Собрание (конференция) граждан на всей территории Обнинска или на отдельной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части проводится по инициативе: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Главы городского самоуправления города Обнинска;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Обнинского городского Собрания;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населения Обнинска.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2. Порядок назначения собрания (конференции) граждан</w:t>
      </w:r>
    </w:p>
    <w:p w:rsidR="000B2DBD" w:rsidRPr="000B2DBD" w:rsidRDefault="000B2DBD" w:rsidP="000B2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по инициативе Главы городского самоуправления города Обнинска</w:t>
      </w:r>
    </w:p>
    <w:p w:rsidR="000B2DBD" w:rsidRPr="000B2DBD" w:rsidRDefault="000B2DBD" w:rsidP="000B2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или Обнинского городского Собрания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2.1. Решение о назначении собрания (конференции) граждан принимается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городским Собранием или Главой городского самоуправления по собственной инициативе и оформляется в письменной форме с указанием: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вопроса, предлагаемого к рассмотрению на собрании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даты, времени и места проведения собрания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- в случае проведения собрания (конференции)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 xml:space="preserve"> Обнинска указывается часть территории, на которой будет проводиться собрание (конференция).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2.2. Инициатор назначения собрания (конференции) граждан обеспечивает подготовку и проведение собрания (конференции).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3. Порядок назначения собрания (конференции) граждан</w:t>
      </w:r>
    </w:p>
    <w:p w:rsidR="000B2DBD" w:rsidRPr="000B2DBD" w:rsidRDefault="000B2DBD" w:rsidP="000B2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по инициативе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3.1. Для назначения собрания (конференции) граждан по инициативе населения в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городское Собрание должна обратиться группа жителей части территории Обнинска, где предполагается проведение собрания (конференции) граждан, численностью не менее 100 человек.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0B2DBD">
        <w:rPr>
          <w:rFonts w:ascii="Times New Roman" w:hAnsi="Times New Roman" w:cs="Times New Roman"/>
          <w:sz w:val="24"/>
          <w:szCs w:val="24"/>
        </w:rPr>
        <w:t>3.2. В обращении инициативной группы должны быть указаны: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цель проведения собрания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место и время проведения собрания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lastRenderedPageBreak/>
        <w:t>- примерное количество участников собрания (конференции)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4. Порядок принятия решения о назначении собрания</w:t>
      </w:r>
    </w:p>
    <w:p w:rsidR="000B2DBD" w:rsidRPr="000B2DBD" w:rsidRDefault="000B2DBD" w:rsidP="000B2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(конференции) граждан по инициативе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4.1 Письменное обращение инициативной группы после его поступления рассматривается на ближайшем заседании Обнинского городского Собрания и принимается одно из следующих решений: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о назначении собрания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в случае несоответствия обращения подпункту 3.2. пункта 3 об отказе в назначении собрания (конференции)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4.2. Решение о назначении собрания (конференции) граждан должно содержать: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вопросы, выносимые на рассмотрение собрания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состав комиссии по организации собрания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- дату, время и место проведения собрания (конференции) граждан;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- в случае проведения собрания (конференции)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 xml:space="preserve"> Обнинска указывается часть территории, на которой будет проводиться собрание (конференция).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4.3. О принятом решении в письменном виде уведомляется инициативная группа.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5. Организация собрания (конференции)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5.1. Подготовку, проведение собрания (конференции) граждан на всей территории Обнинска или на отдельной его части по вопросам местного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 xml:space="preserve"> и подведение его итогов проводит комиссия по организации собрания (конференции) граждан, члены которой назначаются органом, принявшим решение о назначении собрания (конференции)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6. Оповещение населения о проведении собрания (конференции)</w:t>
      </w:r>
    </w:p>
    <w:p w:rsidR="000B2DBD" w:rsidRPr="000B2DBD" w:rsidRDefault="000B2DBD" w:rsidP="000B2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6.1. Члены комиссии по организации собрания (конференции) граждан заблаговременно, не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 xml:space="preserve"> чем за 5 дней до проведения собрания (конференции) граждан, оповещают всех жителей, проживающих на территории Обнинска или части его территории, на которой проводится собрание (конференция), граждан о дате, времени и месте проведения собрания (конференции) граждан и вопросах, которые выносятся на их обсуждение, используя для этого средства массовой информации, почтовые извещения, подворные обходы, объявления и иные возможные средства.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7. Порядок проведения собрания (конференции)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7.1. До открытия собрания (конференции) граждан проводится обязательная регистрация участников с указанием фамилии, имени, отчества, года рождения, адреса места жительства.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7.2. Регистрацию участников осуществляют члены комиссии по организации собрания (конференции)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7.3. Для ведения собрания (конференции) граждан избираются председатель, секретарь и в случае необходимости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7.4. Вопросы,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включенные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в повестку дня собрания (конференции) граждан, утверждаются большинством голосов присутствующих.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7.5. Регламент работы собрания (конференции) граждан и порядок голосования определяются собранием (конференцией)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8. Особенности проведения собрания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8.1. Собрание граждан проводится, если общее число участников собрания не превышает 500 человек и имеется приспособленное помещение для проведения собрания.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9. Основания проведения конференции и норма</w:t>
      </w:r>
    </w:p>
    <w:p w:rsidR="000B2DBD" w:rsidRPr="000B2DBD" w:rsidRDefault="000B2DBD" w:rsidP="000B2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представительства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9.1. В случаях, когда выносимый на рассмотрение вопрос непосредственно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затрагивает интересы более 500 граждан Обнинска либо созвать собрание не представляется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 xml:space="preserve"> возможным, проводится конференция.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9.2. Норма представительства делегатов на конференцию устанавливается инициатором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проведения с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численности жителей, имеющих право на участие в конференции, проживающих на территории Обнинска, на которой проводится конференция, а также возможностей имеющихся помещений. Норма представительства не может быть больше чем 1 делегат от 500 граждан при проведении конференции на всей территории Обнинска, а при проведении конференции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 xml:space="preserve"> Обнинска - не более чем 1 делегат от 50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10. Порядок проведения выборов делегатов на конференцию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10.1. Выборы делегатов на конференцию проводятся на собраниях жителей группы квартир, подъездов дома или группы домов, одной или нескольких улиц.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10.2. По решению инициатора проведения конференции выдвижение и выборы делегатов могут проходить в форме сбора подписей на подписных листах, составленных по форме согласно приложению N 1 к настоящему Положению. По инициативе жителей, от которых выдвигается делегат на конференцию в соответствии с установленной настоящим Положением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10.3. Выборы считаются состоявшимися, если в голосовании приняли участие жители большинства квартир подъезда, дома или группы домов или более половины жителей территории, на которой 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11. Протокол собрания (конференции)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 xml:space="preserve">На собрании (конференции) граждан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протокол, в котором указываются: дата и место проведения собрания (конференции) граждан; общее число граждан, проживающих на соответствующей территории; количество присутствующих; фамилия, имя, отчество председателя, секретаря и членов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комиссии собрания (конференции) граждан; повестка дня; содержание выступлений;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 xml:space="preserve"> фамилия, имя, отчество граждан, имеющих право представлять интересы собрания (конференции) граждан во взаимоотношениях с органами местного самоуправления и должностными лицами местного самоуправления города Обнинска (в случае их избрания на собрании (конференции) граждан); результаты голосования и принятые решения. Протокол составляется в двух экземплярах по примерной форме, указанной в приложении N 2 к настоящему Положению, и подписывается председателем и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секретарем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граждан. К протоколу прилагается список граждан, зарегистрированных собранием (конференцией)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11.2. Один экземпляр протокола собрания (конференции) граждан направляется в орган, принявший решение о назначении собрания (конференции) граждан, в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срок со дня проведения.</w:t>
      </w: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12. Решение собрания (конференции)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12.1. Решение собрания (конференции) граждан принимается открытым или тайным голосованием.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12.2. Решение собрания (конференции) граждан считается принятым, если за него проголосовало более половины граждан, присутствующих на собрании (конференции)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12.3. Изменения и дополнения в принятое решение могут вноситься исключительно собранием (конференцией) граждан.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13. Исполнение решения собрания (конференции)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 xml:space="preserve">Решение собрания (конференции) граждан, принятое в виде обращения к органам местного самоуправления Обнинска или должностным лицам,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на всей территории Обнинска или на отдельной его части, подлежит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нем вопросов, с направлением письменного ответа.</w:t>
      </w:r>
      <w:proofErr w:type="gramEnd"/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14. Обнародование решения собрания (конференции)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14.1. Решение собрания (конференции) граждан подлежит официальному опубликованию (обнародованию) не позднее чем в пятнадцатидневный срок со дня его принятия.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15. Финансирование собрания (конференции) граждан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15.1. Расходы, связанные с подготовкой и проведением собрания (конференции) граждан на всей территории Обнинска или на отдельной его части по инициативе Главы городского самоуправления города Обнинска  или Обнинского городского Собрания, производятся за </w:t>
      </w:r>
      <w:proofErr w:type="spellStart"/>
      <w:r w:rsidRPr="000B2DB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B2DBD">
        <w:rPr>
          <w:rFonts w:ascii="Times New Roman" w:hAnsi="Times New Roman" w:cs="Times New Roman"/>
          <w:sz w:val="24"/>
          <w:szCs w:val="24"/>
        </w:rPr>
        <w:t xml:space="preserve"> средств бюджета города Обнинска.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к Положению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о собраниях (конференциях) граждан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"Город Обнинск"</w:t>
      </w:r>
    </w:p>
    <w:p w:rsidR="000B2DBD" w:rsidRPr="000B2DBD" w:rsidRDefault="000B2DBD" w:rsidP="000B2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0B2DBD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(наименование территории)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 инициативу  о  выдвижении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(Ф.И.О., адрес делегата)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делегатом на конференцию жителей по вопросу 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(формулировка вопроса</w:t>
      </w:r>
      <w:proofErr w:type="gramEnd"/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(вопросов)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200"/>
        <w:gridCol w:w="1560"/>
        <w:gridCol w:w="1440"/>
        <w:gridCol w:w="1080"/>
      </w:tblGrid>
      <w:tr w:rsidR="000B2DBD" w:rsidRPr="000B2DBD" w:rsidTr="00517B69">
        <w:trPr>
          <w:trHeight w:val="250"/>
        </w:trPr>
        <w:tc>
          <w:tcPr>
            <w:tcW w:w="600" w:type="dxa"/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00" w:type="dxa"/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1440" w:type="dxa"/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</w:p>
        </w:tc>
        <w:tc>
          <w:tcPr>
            <w:tcW w:w="1080" w:type="dxa"/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BD">
              <w:rPr>
                <w:rFonts w:ascii="Times New Roman" w:hAnsi="Times New Roman" w:cs="Times New Roman"/>
                <w:sz w:val="24"/>
                <w:szCs w:val="24"/>
              </w:rPr>
              <w:t xml:space="preserve"> листа </w:t>
            </w:r>
          </w:p>
        </w:tc>
      </w:tr>
      <w:tr w:rsidR="000B2DBD" w:rsidRPr="000B2DBD" w:rsidTr="00517B69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BD" w:rsidRPr="000B2DBD" w:rsidTr="00517B69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BD" w:rsidRPr="000B2DBD" w:rsidTr="00517B69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B2DBD" w:rsidRPr="000B2DBD" w:rsidRDefault="000B2DBD" w:rsidP="00517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 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(фамилия, имя, отчество, дата</w:t>
      </w:r>
      <w:proofErr w:type="gramEnd"/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рождения, место жительства собиравшего подписи)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(подпись и дата)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Уполномоченный инициативной группы 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дата рождения, место жительства уполномоченного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инициативной</w:t>
      </w:r>
      <w:proofErr w:type="gramEnd"/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группы)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к Положению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B2DBD">
        <w:rPr>
          <w:rFonts w:ascii="Times New Roman" w:hAnsi="Times New Roman" w:cs="Times New Roman"/>
          <w:sz w:val="24"/>
          <w:szCs w:val="24"/>
        </w:rPr>
        <w:t>о собраниях (конференциях) граждан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0B2DBD" w:rsidRPr="000B2DBD" w:rsidRDefault="000B2DBD" w:rsidP="000B2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"Город Обнинск"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8"/>
      <w:bookmarkEnd w:id="4"/>
      <w:r w:rsidRPr="000B2DBD">
        <w:rPr>
          <w:rFonts w:ascii="Times New Roman" w:hAnsi="Times New Roman" w:cs="Times New Roman"/>
          <w:sz w:val="24"/>
          <w:szCs w:val="24"/>
        </w:rPr>
        <w:t>ПРОТОКОЛ</w:t>
      </w:r>
    </w:p>
    <w:p w:rsidR="000B2DBD" w:rsidRPr="000B2DBD" w:rsidRDefault="000B2DBD" w:rsidP="000B2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Собрания (конференции) граждан __________________________________,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территории)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состоявшегося "___" _________ 200_ года 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проведения)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Общее   число   граждан,    проживающих   на  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территории, ______.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Присутствовали: __________________.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Председатель собрания (конференции) граждан 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Секретарь собрания (конференции) граждан 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ПОВЕСТКА ДНЯ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(вопрос)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Доклад 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(Ф.И.О. выступавшего)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1. СЛУШАЛИ: 1. 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(Ф.И.О. выступавшего)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(краткая запись выступления или текст доклада (прилагается)</w:t>
      </w:r>
      <w:proofErr w:type="gramEnd"/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Выступили: 1. 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(Ф.И.О. выступившего)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(краткая запись выступления)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(решение по вопросу)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(решение по вопросу)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Результаты голосования: "ЗА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" - ______; "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>ПРОТИВ" - _____.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принято).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2. СЛУШАЛИ: 1. 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(Ф.И.О. выступавшего)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(краткая запись выступления или текст доклада (прилагается)</w:t>
      </w:r>
      <w:proofErr w:type="gramEnd"/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Выступили: 1. 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   (Ф.И.О. выступавшего)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(краткая запись выступления)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(решение по вопросу)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         (решение по вопросу)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Результаты голосования: "ЗА</w:t>
      </w:r>
      <w:proofErr w:type="gramStart"/>
      <w:r w:rsidRPr="000B2DBD">
        <w:rPr>
          <w:rFonts w:ascii="Times New Roman" w:hAnsi="Times New Roman" w:cs="Times New Roman"/>
          <w:sz w:val="24"/>
          <w:szCs w:val="24"/>
        </w:rPr>
        <w:t>" - _____; "</w:t>
      </w:r>
      <w:proofErr w:type="gramEnd"/>
      <w:r w:rsidRPr="000B2DBD">
        <w:rPr>
          <w:rFonts w:ascii="Times New Roman" w:hAnsi="Times New Roman" w:cs="Times New Roman"/>
          <w:sz w:val="24"/>
          <w:szCs w:val="24"/>
        </w:rPr>
        <w:t>ПРОТИВ" - _____.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принято).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Председатель _________      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   (подпись)          (Ф.И.О.)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Секретарь _________      ____________________</w:t>
      </w:r>
    </w:p>
    <w:p w:rsidR="000B2DBD" w:rsidRPr="000B2DBD" w:rsidRDefault="000B2DBD" w:rsidP="000B2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DBD">
        <w:rPr>
          <w:rFonts w:ascii="Times New Roman" w:hAnsi="Times New Roman" w:cs="Times New Roman"/>
          <w:sz w:val="24"/>
          <w:szCs w:val="24"/>
        </w:rPr>
        <w:t xml:space="preserve">              (подпись)           (Ф.И.О.)</w:t>
      </w: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Pr="000B2DBD" w:rsidRDefault="000B2DBD" w:rsidP="000B2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BD" w:rsidRDefault="000B2DBD" w:rsidP="000B2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E0F" w:rsidRDefault="00CB5E0F"/>
    <w:sectPr w:rsidR="00CB5E0F" w:rsidSect="00DE5D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B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2DBD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0B2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 Знак1 Знак Знак Знак"/>
    <w:basedOn w:val="a"/>
    <w:rsid w:val="000B2DB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0B2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0B2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 Знак1 Знак Знак Знак"/>
    <w:basedOn w:val="a"/>
    <w:rsid w:val="000B2DB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0B2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2181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Приложение</vt:lpstr>
      <vt:lpstr>    1. Общие положения</vt:lpstr>
      <vt:lpstr>    2. Порядок назначения собрания (конференции) граждан</vt:lpstr>
      <vt:lpstr>    3. Порядок назначения собрания (конференции) граждан</vt:lpstr>
      <vt:lpstr>    4. Порядок принятия решения о назначении собрания</vt:lpstr>
      <vt:lpstr>    5. Организация собрания (конференции) граждан</vt:lpstr>
      <vt:lpstr>    6. Оповещение населения о проведении собрания (конференции)</vt:lpstr>
      <vt:lpstr>    7. Порядок проведения собрания (конференции) граждан</vt:lpstr>
      <vt:lpstr>    8. Особенности проведения собрания</vt:lpstr>
      <vt:lpstr>    9. Основания проведения конференции и норма</vt:lpstr>
      <vt:lpstr>    10. Порядок проведения выборов делегатов на конференцию</vt:lpstr>
      <vt:lpstr>    11. Протокол собрания (конференции) граждан</vt:lpstr>
      <vt:lpstr>    12. Решение собрания (конференции) граждан</vt:lpstr>
      <vt:lpstr>    13. Исполнение решения собрания (конференции) граждан</vt:lpstr>
      <vt:lpstr>    14. Обнародование решения собрания (конференции) граждан</vt:lpstr>
      <vt:lpstr>    15. Финансирование собрания (конференции) граждан</vt:lpstr>
      <vt:lpstr>    Приложение N 1</vt:lpstr>
      <vt:lpstr>    Приложение N 2</vt:lpstr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2017-11-01T09:30:00Z</dcterms:created>
  <dcterms:modified xsi:type="dcterms:W3CDTF">2017-11-01T09:32:00Z</dcterms:modified>
</cp:coreProperties>
</file>